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182</w:t>
      </w:r>
    </w:p>
    <w:p>
      <w:r>
        <w:t>Bundesgericht (BGE), 2021-12-08, DE</w:t>
      </w:r>
    </w:p>
    <w:p>
      <w:r>
        <w:rPr>
          <w:b/>
        </w:rPr>
        <w:t xml:space="preserve">Quelle: </w:t>
      </w:r>
      <w:r>
        <w:t>https://mcp.opencaselaw.ch/entscheid/bge_148 II 182</w:t>
      </w:r>
    </w:p>
    <w:p>
      <w:r>
        <w:t>FR: ATF 148 II 182</w:t>
      </w:r>
    </w:p>
    <w:p>
      <w:r>
        <w:t>IT: DTF 148 II 182</w:t>
      </w:r>
    </w:p>
    <w:p>
      <w:pPr>
        <w:pStyle w:val="Heading2"/>
      </w:pPr>
      <w:r>
        <w:t>Regeste</w:t>
      </w:r>
    </w:p>
    <w:p>
      <w:r>
        <w:t>Regeste Art. 1, 2 und 5 VStrR; Art. 25 und 26 StGB; Art. 2, 4 Abs. 1, Art. 5, 30 Abs. 1, Art. 49a Abs. 1, Art. 50, 54 f., 57 KG. Hinweis auf die in der Hauptsache ergangenen Entscheide (publizierter Entscheid: BGE 147 II 72). Im vorliegenden Fall stellt sich die Frage, ob bei diesen Entscheiden die Beschwerdegegnerinnen als Gehilfinnen mitgewirkt haben und sie dafür sanktioniert werden können (E. 2). Das KG kennt das Wort "Gehilfe" bzw. "Gehilfenschaft" nicht. Zwei Konstellationen sind im vorliegenden Fall denkbar: erstens über den Hinweis im KG auf das VStrR, wenn einem vorgängig erlassenen Entscheid zuwider gehandelt wurde; zweitens, wenn sich ein Unternehmen an einer unzulässigen Abrede nach Art. 5 Abs. 4 KG beteiligt hat (E. 3.3). Subsumtion (E. 3.4).</w:t>
      </w:r>
    </w:p>
    <w:p>
      <w:pPr>
        <w:pStyle w:val="Heading2"/>
      </w:pPr>
      <w:r>
        <w:t>Erwägungen</w:t>
      </w:r>
    </w:p>
    <w:p>
      <w:r>
        <w:rPr>
          <w:b/>
        </w:rPr>
        <w:t>E. 2</w:t>
      </w:r>
    </w:p>
    <w:p>
      <w:r>
        <w:t>Das Bundesgericht hat in der Hauptsache mit den Urteilen 2C_145/2018 vom 7. Oktober 2021, 2C_147/2018 vom 7. Oktober 2021 und BGE 147 II 72 entschieden, dass zwischen den einzelnen Herstellern und den Verkaufsstellen eine Abrede in Form einer abgestimmten Verhaltensweise vorliegt, die den Wettbewerb auf dem Medikamentenmarkt für erektile Dysfunktion erheblich beeinträchtigt und sich nicht durch Gründe der wirtschaftlichen Effizienz rechtfertigen lässt, weshalb die drei Hersteller nach Art. 49a Abs. 1 KG sanktioniert wurden. Diese erfüllen als Täter sowohl den objektiven als auch den subjektiven Tatbestand. Im vorliegenden Verfahren stellt sich die Frage, ob die Beschwerdegegnerinnen als Gehilfinnen der oder einer der Abredeparteien an der Abrede mitgewirkt haben und gegen sie Massnahmen erlassen bzw. allenfalls dafür sanktioniert werden können. Mit der Verfügung vom 2. November 2009 hielt die WEKO in Ziff. 3 des Dispositivs fest, dass die Beschwerdegegnerinnen "bezüglich dieser Publikumspreisempfehlungen keine Gehilfenhandlungen [...] mehr vornehmen [dürfen]". Begründet wurde dies mit einem Hinweis auf Art. 1, 2 und 5 VStrR (SR 313.0) und Art. 25 und 26 StGB . In den Erwägungen führte die WEKO aus, dass die Beschwerdegegnerinnen Gehilfinnen, aber mangels genügend schwerem Tatbeitrag nicht nach Art. 49a Abs. 1 KG zu sanktionieren seien. In der Replik hat der Beschwerdeführer Art. 30 Abs. 1 KG als rechtliche Grundlage für die verfügten Massnahmen erwähnt.</w:t>
      </w:r>
    </w:p>
    <w:p>
      <w:r>
        <w:rPr>
          <w:b/>
        </w:rPr>
        <w:t>E. 3.1</w:t>
      </w:r>
    </w:p>
    <w:p>
      <w:r>
        <w:t>Das Kartellgesetz bezweckt, volkswirtschaftlich oder sozial schädliche Auswirkungen von Kartellen und anderen Wettbewerbsbeschränkungen BGE 148 II 182 S. 186 zu verhindern und damit den Wettbewerb im Interesse einer freiheitlichen marktwirtschaftlichen Ordnung zu fördern ( Art. 1 KG ). Die Umsetzung dieses Zwecks erfolgt durch Regelungen zu Abreden ( Art. 5 KG ), zu Verhaltensweisen marktbeherrschender Unternehmen ( Art. 7 KG ) sowie zu Unternehmenszusammenschlüssen (Art. 9 f. KG) und hauptsächlich in der Form des Verwaltungsrechts und von Verwaltungsverfahren - wie auch im vorliegenden Fall. Das Kartellrecht als Verwaltungsrecht auferlegt seinen Adressaten zahlreiche Pflichten. Zur Sicherstellung der Erfüllung dieser Verwaltungspflichten hat der Gesetzgeber präventive und repressive Verwaltungsmassnahmen bzw. verwaltungsrechtliche Sanktionen ( Art. 30 Abs. 1, Art. 49a Abs. 1 und Art. 50 KG ), aber auch Strafen (Art. 54 f. KG) vorgesehen, mit denen die verwaltungsrechtlichen Gebote und Verbote durchgesetzt werden sollen.</w:t>
      </w:r>
    </w:p>
    <w:p>
      <w:r>
        <w:rPr>
          <w:b/>
        </w:rPr>
        <w:t>E. 3.2</w:t>
      </w:r>
    </w:p>
    <w:p>
      <w:r>
        <w:t>Dem vorliegenden Fall liegt eine Abrede in Form einer abgestimmten Verhaltensweise zugrunde. Die Abrede erfolgte zwischen den Herstellern von Medikamenten gegen erektile Dysfunktion und den Verkaufsstellen ( BGE 147 II 72 E. 5.7). Die Beschwerdegegnerinnen sind das Scharnier zwischen den Abredeparteien, da sie im Wesentlichen das Informatikprogramm den Verkaufsstellen zur Verfügung stellen. Gestützt darauf hat die WEKO die Beschwerdegegnerinnen verpflichtet, in Zukunft weitere "Gehilfenhandlungen" zu unterlassen (siehe vorne Bst. B, Ziff. 3 des Dispositivs).</w:t>
      </w:r>
    </w:p>
    <w:p>
      <w:r>
        <w:rPr>
          <w:b/>
        </w:rPr>
        <w:t>E. 3.3.1</w:t>
      </w:r>
    </w:p>
    <w:p>
      <w:r>
        <w:t>Das KG kennt textlich weder das Wort "Gehilfe" noch das Wort "Gehilfenhandlung". Im Rahmen des KG gibt es indes grundsätzlich zwei - nachfolgend darzustellende - Konstellationen (siehe E. 3.3.2 und 3.3.3), bei welchen von einem Gehilfen bzw. von Gehilfenschaft gesprochen werden kann:</w:t>
      </w:r>
    </w:p>
    <w:p>
      <w:r>
        <w:rPr>
          <w:b/>
        </w:rPr>
        <w:t>E. 3.3.2</w:t>
      </w:r>
    </w:p>
    <w:p>
      <w:r>
        <w:t>In Art. 54 ff. KG sind die Strafsanktionen geregelt, welche in Form einer Busse ergehen. Für die Verfolgung und die Beurteilung verweist Art. 57 KG auf das VStrR. Art. 5 VStrR kennt die Rechtsfigur der Gehilfenschaft. Gehilfenschaft zu einer Übertretung nach Art. 54 bzw. 55 KG wäre strafbar (vgl. auch RIEDO/NIGGLI, in: Basler Kommentar, Kartellgesetz, [nachfolgend: BSK KG], Amstutz/Reinert [Hrsg.] 2010, N. 81 zu Art. 54 KG und N. 174 zu Vor Art. 49a-53 KG ). Damit der von der Konstellation her in casu relevante Art. 54 KG aber überhaupt Anwendung finden kann, bedarf es eines vorgängig erlassenen behördlichen Entscheids, dem zuwider gehandelt wurde. BGE 148 II 182 S. 187</w:t>
      </w:r>
    </w:p>
    <w:p>
      <w:r>
        <w:rPr>
          <w:b/>
        </w:rPr>
        <w:t>E. 3.3.3</w:t>
      </w:r>
    </w:p>
    <w:p>
      <w:r>
        <w:t>Adressat von verwaltungsrechtlichen Massnahmen nach Art. 30 KG oder von verwaltungsrechtlichen Sanktionen nach Art. 49a Abs. 1 KG kann nur sein, wer durch das Gesetz angehalten wird, sich wettbewerbskonform zu verhalten. Das KG spricht - wie bereits erwähnt - nicht ausdrücklich vom Gehilfen. "Gehilfe" kann daher nur sein, wer die Voraussetzungen von Art. 4 Abs. 1 i.V.m. Art. 2 i.V.m. Art. 5 KG erfüllt. Im vorliegenden Fall heisst dies: Unternehmen, die sich i.S. von Art. 5 KG unzulässigerweise aufeinander abgestimmt haben; oder in den Worten von Art. 49a Abs. 1 KG : Unternehmen, die sich an einer unzulässigen Abrede nach Art. 5 Abs. 4 beteiligt haben. Neben den Hauptakteuren können unter bestimmten Voraussetzungen - wie auch im Rahmen von Art. 101 Abs. 1 AEUV - weitere Akteure als Gesetzesadressaten verstanden werden (siehe dazu etwa die rechtliche Auseinandersetzung von BENEDIKT SCHWARZKOPF, Externe Kartellunterstützer im Europäischen Kartellrecht, 2018, S. 69 ff. mit zahlreichen Hinweisen auf die Auseinandersetzung in der EU). Auch wenn die Massnahme nach Art. 49a Abs. 1 KG strafrechtsähnlich ist und damit gewisse strafrechtliche Grundsätze anwendbar sind (vgl. BGE 146 II 217 E. 8.2, E. 8.5; Urteil 2C_845/2018 vom 3. August 2020 E. 4.1.3), bleibt das kartellrechtliche Verfahren ein Verwaltungsverfahren ( BGE 145 II 259 E. 2.6.2; BGE 144 II 194 E. 4.4.2; BGE 142 II 268 E. 4.2.5.2). Die Anwendbarkeit der strafrechtsähnlichen Grundsätze stützen sich direkt auf die EMRK und nicht auf das Bundesgesetz über das Verwaltungsstrafrecht. Art. 5 VStrR ist deshalb nicht anwendbar. Das Gleiche würde auch für Art. 333 Abs. 1 StGB gelten, wobei in diesem Fall Art. 105 Abs. 2 StGB die Gehilfenschaft ohnehin nur in den vom Gesetz ausdrücklich bestimmten Fällen bestraft, was bei Art. 49a Abs. 1 KG nicht zutrifft.</w:t>
      </w:r>
    </w:p>
    <w:p>
      <w:r>
        <w:rPr>
          <w:b/>
        </w:rPr>
        <w:t>E. 3.4.1</w:t>
      </w:r>
    </w:p>
    <w:p>
      <w:r>
        <w:t>Die Verfügung vom 2. November 2009 ist nicht Folge davon, dass die Beschwerdeführerinnen gegen eine vorgängig erlassene Verfügung der WEKO bzw. einen Entscheid einer Rechtsmittelinstanz zuwider gehandelt haben (erste Konstellation [oben E. 3.3.2]). Demnach sind Art. 54 KG und Art. 5 VStrR mit dem Begriff der Gehilfenschaft nicht anwendbar. Insofern bleibt zu prüfen, ob sich aus der zweiten Konstellation (oben E. 3.3.3) eine Grundlage ergibt, um die Beschwerdegegnerinnen zu Massnahmen (bzw. allenfalls zu Sanktionen) zu verpflichten. BGE 148 II 182 S. 188</w:t>
      </w:r>
    </w:p>
    <w:p>
      <w:r>
        <w:rPr>
          <w:b/>
        </w:rPr>
        <w:t>E. 3.4.2</w:t>
      </w:r>
    </w:p>
    <w:p>
      <w:r>
        <w:t>Indem die WEKO die Beschwerdegegnerinnen verpflichtet hat, in Zukunft weitere Gehilfenhandlungen zu unterlassen, nimmt sie Bezug auf angeblich in der Vergangenheit erfolgte unzulässige Handlungen. Sie hat indessen bloss kurz und bündig festgehalten, dass die Beschwerdegegnerinnen Gehilfinnen mindestens einer der Abredeparteien seien, den diesbezüglichen Sachverhalt jedoch nicht einmal ansatzweise abgeklärt. Das Bundesverwaltungsgericht hat aufgrund seines Verständnisses, dass keine Wettbewerbsabrede vorliege, den Sachverhalt ebenfalls nicht festgestellt. Es liegt nicht am Bundesgericht, dies nachzuholen (vgl. Art. 97 Abs. 1, Art. 105 Abs. 2 BGG ). Da das Bundesgericht Fälle zu beurteilen hat, welche sich auf einen genügend erstellten Sachverhalt stützen müssen, ist es auch nicht Aufgabe des Bundesgerichts, unabhängig von einem genügend erstellten Sachverhalt in einem konkreten Fall rechtliche Ausführungen zu möglichen Konstellationen zu machen. Da die WEKO den für die Beurteilung der Gehilfenschaft notwendigen Sachverhalt nicht einmal ansatzweise festgestellt hat, erübrigt sich auch der Eventualantrag des Beschwerdeführers (vgl. Urteil 2C_1016/2014 vom 9. Oktober 2017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